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26.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728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67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  <w:bookmarkStart w:id="0" w:name="_GoBack"/>
            <w:bookmarkEnd w:id="0"/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26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F8B6812"/>
    <w:rsid w:val="227A1545"/>
    <w:rsid w:val="23EB3BC1"/>
    <w:rsid w:val="25A66F90"/>
    <w:rsid w:val="28743C22"/>
    <w:rsid w:val="2B62325A"/>
    <w:rsid w:val="2D815C26"/>
    <w:rsid w:val="2DD0005E"/>
    <w:rsid w:val="2E8F74F1"/>
    <w:rsid w:val="2FC438B9"/>
    <w:rsid w:val="2FD24324"/>
    <w:rsid w:val="38210D3C"/>
    <w:rsid w:val="3D340A36"/>
    <w:rsid w:val="3E6617E1"/>
    <w:rsid w:val="40C120CD"/>
    <w:rsid w:val="40D2307A"/>
    <w:rsid w:val="41DF7BCB"/>
    <w:rsid w:val="429A5C30"/>
    <w:rsid w:val="43DC2995"/>
    <w:rsid w:val="484D212D"/>
    <w:rsid w:val="4E8A7B66"/>
    <w:rsid w:val="5F485082"/>
    <w:rsid w:val="5F6F42D5"/>
    <w:rsid w:val="6977313F"/>
    <w:rsid w:val="6B4B57C1"/>
    <w:rsid w:val="6CD129C5"/>
    <w:rsid w:val="6D87647A"/>
    <w:rsid w:val="6D8E2083"/>
    <w:rsid w:val="6F272300"/>
    <w:rsid w:val="72EB7C37"/>
    <w:rsid w:val="76472E8C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2024-11-17T22:02:53Z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5A14BB5E85A34DD7A43C386EF7F1CF88</vt:lpwstr>
  </property>
</Properties>
</file>