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5554"/>
        <w:gridCol w:w="1695"/>
        <w:gridCol w:w="2542"/>
      </w:tblGrid>
      <w:tr w14:paraId="7837C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FB170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sz w:val="40"/>
                <w:szCs w:val="40"/>
                <w:lang w:val="en-US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5150" cy="204470"/>
                  <wp:effectExtent l="0" t="0" r="13970" b="889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50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40"/>
                <w:szCs w:val="40"/>
                <w:lang w:eastAsia="el-GR"/>
              </w:rPr>
              <w:t>Α.Ο. ΑΙΓΑΛΕΩ</w:t>
            </w:r>
          </w:p>
        </w:tc>
      </w:tr>
      <w:tr w14:paraId="018A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7215A">
            <w:pPr>
              <w:spacing w:after="0" w:line="240" w:lineRule="auto"/>
              <w:jc w:val="center"/>
              <w:rPr>
                <w:rFonts w:ascii="SimSun" w:hAnsi="SimSun" w:eastAsia="SimSun" w:cs="SimSun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2520" cy="1076325"/>
                  <wp:effectExtent l="0" t="0" r="0" b="5715"/>
                  <wp:docPr id="3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FD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8D6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color w:val="C00000"/>
                <w:sz w:val="23"/>
                <w:szCs w:val="23"/>
                <w:lang w:val="el-GR"/>
              </w:rPr>
              <w:t>ΜΠΙΛΑΝΑΚΟΥ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 xml:space="preserve"> ΝΕΦΕΛΗ</w:t>
            </w:r>
            <w:r>
              <w:rPr>
                <w:b/>
                <w:color w:val="C00000"/>
                <w:sz w:val="23"/>
                <w:szCs w:val="23"/>
              </w:rPr>
              <w:t xml:space="preserve"> (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25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3</w:t>
            </w:r>
            <w:r>
              <w:rPr>
                <w:b/>
                <w:color w:val="C00000"/>
                <w:sz w:val="23"/>
                <w:szCs w:val="23"/>
              </w:rPr>
              <w:t>/</w:t>
            </w:r>
            <w:r>
              <w:rPr>
                <w:rFonts w:hint="default"/>
                <w:b/>
                <w:color w:val="C00000"/>
                <w:sz w:val="23"/>
                <w:szCs w:val="23"/>
                <w:lang w:val="el-GR"/>
              </w:rPr>
              <w:t>10</w:t>
            </w:r>
            <w:r>
              <w:rPr>
                <w:b/>
                <w:color w:val="C00000"/>
                <w:sz w:val="23"/>
                <w:szCs w:val="23"/>
              </w:rPr>
              <w:t>)*(ΚΟΡΑΣΙΔΩΝ)*</w:t>
            </w:r>
            <w:r>
              <w:rPr>
                <w:b/>
                <w:sz w:val="23"/>
                <w:szCs w:val="23"/>
              </w:rPr>
              <w:t xml:space="preserve"> ΑΤΟΜΙΚΑ ΡΕΚΟΡ &amp; ΒΑΘΜΟΛΟΓΙΑ (FINA) ΑΝΑΛΟΓΑ ΜΕ ΤΙΣ ΕΠΙΔΟΣΕΙΣ</w:t>
            </w:r>
          </w:p>
        </w:tc>
      </w:tr>
      <w:tr w14:paraId="06FD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9EB1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B503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2DC4B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CCD6F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3E98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86DE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AA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(Π.Ρ.Κορασίδων Β &amp; Παγκορασίδων Α)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15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4FA0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7B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736</w:t>
            </w:r>
          </w:p>
        </w:tc>
      </w:tr>
      <w:tr w14:paraId="148E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882D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 xml:space="preserve">  10</w:t>
            </w:r>
            <w:r>
              <w:rPr>
                <w:b/>
                <w:color w:val="FF0000"/>
              </w:rPr>
              <w:t>0μ.Ελεύθερ</w:t>
            </w:r>
            <w:r>
              <w:rPr>
                <w:b/>
                <w:color w:val="FF0000"/>
                <w:lang w:val="el-GR"/>
              </w:rPr>
              <w:t>ο</w:t>
            </w:r>
            <w:r>
              <w:rPr>
                <w:rFonts w:hint="default"/>
                <w:b/>
                <w:color w:val="FF0000"/>
                <w:lang w:val="el-GR"/>
              </w:rPr>
              <w:t>*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B019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Α)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57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0517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792F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46</w:t>
            </w:r>
            <w:bookmarkStart w:id="0" w:name="_GoBack"/>
            <w:bookmarkEnd w:id="0"/>
          </w:p>
        </w:tc>
      </w:tr>
      <w:tr w14:paraId="544A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A9BA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6AC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2:1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EBB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4EAA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602</w:t>
            </w:r>
          </w:p>
        </w:tc>
      </w:tr>
      <w:tr w14:paraId="273B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01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3195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4:</w:t>
            </w:r>
            <w:r>
              <w:rPr>
                <w:rFonts w:hint="default"/>
                <w:b/>
                <w:color w:val="FF0000"/>
                <w:lang w:val="el-GR"/>
              </w:rPr>
              <w:t>48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4BFC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93DF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548</w:t>
            </w:r>
          </w:p>
        </w:tc>
      </w:tr>
      <w:tr w14:paraId="479F4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732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3444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AD54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40C0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0940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8DD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9ABA6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1DEC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8C65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23491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485A6">
            <w:pPr>
              <w:spacing w:after="0" w:line="240" w:lineRule="auto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65B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 Παγκορασίδων 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b/>
                <w:color w:val="E36C09" w:themeColor="accent6" w:themeShade="BF"/>
              </w:rPr>
              <w:t>3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799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17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66E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701</w:t>
            </w:r>
          </w:p>
        </w:tc>
      </w:tr>
      <w:tr w14:paraId="059D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B34E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2243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06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B498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FD57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637</w:t>
            </w:r>
          </w:p>
        </w:tc>
      </w:tr>
      <w:tr w14:paraId="3D70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6D6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2D094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28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FCBB1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C2A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569</w:t>
            </w:r>
          </w:p>
        </w:tc>
      </w:tr>
      <w:tr w14:paraId="10C9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693A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7822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(Π.Ρ.Κορασίδων,Κορασίδων Β,Παγκ/δων Α&amp;Β)</w:t>
            </w:r>
            <w:r>
              <w:rPr>
                <w:rFonts w:hint="default"/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39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DF4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12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996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09</w:t>
            </w:r>
          </w:p>
        </w:tc>
      </w:tr>
      <w:tr w14:paraId="24D5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05A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8721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Παγκορασίδων Α) </w:t>
            </w:r>
            <w:r>
              <w:rPr>
                <w:b/>
                <w:color w:val="0070C0"/>
              </w:rPr>
              <w:t>1:</w:t>
            </w:r>
            <w:r>
              <w:rPr>
                <w:rFonts w:hint="default"/>
                <w:b/>
                <w:color w:val="0070C0"/>
                <w:lang w:val="el-GR"/>
              </w:rPr>
              <w:t>01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51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B9B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12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3E11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733</w:t>
            </w:r>
          </w:p>
        </w:tc>
      </w:tr>
      <w:tr w14:paraId="5857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9D54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58BD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B4000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6960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7F58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20AA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BB77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0C2738">
            <w:pPr>
              <w:spacing w:after="0" w:line="240" w:lineRule="auto"/>
              <w:ind w:left="472" w:leftChars="0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B272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0557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83D7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FB4D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E0B3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11D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2701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377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A8C8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8157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507F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32CF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BD60C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n-US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9B6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</w:t>
            </w:r>
            <w:r>
              <w:rPr>
                <w:rFonts w:hint="default"/>
                <w:b/>
                <w:color w:val="7030A0"/>
                <w:lang w:val="el-GR"/>
              </w:rPr>
              <w:t>34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97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195F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12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58C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539</w:t>
            </w:r>
          </w:p>
        </w:tc>
      </w:tr>
      <w:tr w14:paraId="50DB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C5D3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5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35542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5:</w:t>
            </w:r>
            <w:r>
              <w:rPr>
                <w:rFonts w:hint="default"/>
                <w:b/>
                <w:color w:val="7030A0"/>
                <w:lang w:val="el-GR"/>
              </w:rPr>
              <w:t>37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3EFD5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n-US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n-US"/>
              </w:rPr>
              <w:t>3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FCA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490</w:t>
            </w:r>
          </w:p>
        </w:tc>
      </w:tr>
    </w:tbl>
    <w:p w14:paraId="1ACDF2C2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E8166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9C864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8660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1AF07">
    <w:pPr>
      <w:pStyle w:val="6"/>
    </w:pPr>
    <w:r>
      <w:pict>
        <v:shape id="PowerPlusWaterMarkObject136320758" o:spid="_x0000_s18435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29AE2">
    <w:pPr>
      <w:pStyle w:val="6"/>
    </w:pPr>
    <w:r>
      <w:pict>
        <v:shape id="PowerPlusWaterMarkObject136320757" o:spid="_x0000_s18434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04969">
    <w:pPr>
      <w:pStyle w:val="6"/>
    </w:pPr>
    <w:r>
      <w:pict>
        <v:shape id="PowerPlusWaterMarkObject136320756" o:spid="_x0000_s1843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62DA5"/>
    <w:rsid w:val="0001616C"/>
    <w:rsid w:val="000C1C11"/>
    <w:rsid w:val="00144A27"/>
    <w:rsid w:val="00165D90"/>
    <w:rsid w:val="001B6E11"/>
    <w:rsid w:val="001D19B0"/>
    <w:rsid w:val="001D77DD"/>
    <w:rsid w:val="00200258"/>
    <w:rsid w:val="00200F21"/>
    <w:rsid w:val="00240E7B"/>
    <w:rsid w:val="002768AA"/>
    <w:rsid w:val="00305673"/>
    <w:rsid w:val="00317DD2"/>
    <w:rsid w:val="00381625"/>
    <w:rsid w:val="00383B23"/>
    <w:rsid w:val="003A0806"/>
    <w:rsid w:val="003B0870"/>
    <w:rsid w:val="00412A4F"/>
    <w:rsid w:val="00452857"/>
    <w:rsid w:val="00473A15"/>
    <w:rsid w:val="004866D8"/>
    <w:rsid w:val="004A68D1"/>
    <w:rsid w:val="00522C0B"/>
    <w:rsid w:val="00533EC2"/>
    <w:rsid w:val="00564E1E"/>
    <w:rsid w:val="005721DF"/>
    <w:rsid w:val="005B5599"/>
    <w:rsid w:val="005E6F58"/>
    <w:rsid w:val="005F427A"/>
    <w:rsid w:val="00640221"/>
    <w:rsid w:val="0064442F"/>
    <w:rsid w:val="00662DA5"/>
    <w:rsid w:val="006766C0"/>
    <w:rsid w:val="006A57AA"/>
    <w:rsid w:val="006B3519"/>
    <w:rsid w:val="0071751D"/>
    <w:rsid w:val="007266B9"/>
    <w:rsid w:val="00732470"/>
    <w:rsid w:val="00781774"/>
    <w:rsid w:val="007E5F31"/>
    <w:rsid w:val="00846139"/>
    <w:rsid w:val="00892552"/>
    <w:rsid w:val="008D4FCA"/>
    <w:rsid w:val="008E3036"/>
    <w:rsid w:val="00950D24"/>
    <w:rsid w:val="00972C25"/>
    <w:rsid w:val="00983C8E"/>
    <w:rsid w:val="009B1117"/>
    <w:rsid w:val="009C2942"/>
    <w:rsid w:val="00A2307C"/>
    <w:rsid w:val="00A82217"/>
    <w:rsid w:val="00AA6195"/>
    <w:rsid w:val="00B974E5"/>
    <w:rsid w:val="00BC644D"/>
    <w:rsid w:val="00BD335D"/>
    <w:rsid w:val="00BD44E2"/>
    <w:rsid w:val="00C16C1A"/>
    <w:rsid w:val="00C202D9"/>
    <w:rsid w:val="00C404EA"/>
    <w:rsid w:val="00CD245E"/>
    <w:rsid w:val="00CE4679"/>
    <w:rsid w:val="00D0155E"/>
    <w:rsid w:val="00D419B6"/>
    <w:rsid w:val="00D55FC3"/>
    <w:rsid w:val="00DA1E6A"/>
    <w:rsid w:val="00DB1B34"/>
    <w:rsid w:val="00DF45C4"/>
    <w:rsid w:val="00E07842"/>
    <w:rsid w:val="00EB0A53"/>
    <w:rsid w:val="00F00A9D"/>
    <w:rsid w:val="00F011E0"/>
    <w:rsid w:val="00F85F5F"/>
    <w:rsid w:val="00FC0989"/>
    <w:rsid w:val="019B1002"/>
    <w:rsid w:val="020904E7"/>
    <w:rsid w:val="03FB0D76"/>
    <w:rsid w:val="06C64BC7"/>
    <w:rsid w:val="0A464312"/>
    <w:rsid w:val="0CB32DFF"/>
    <w:rsid w:val="0EF5327D"/>
    <w:rsid w:val="0F0B3BE2"/>
    <w:rsid w:val="0FB726D1"/>
    <w:rsid w:val="0FE86DC6"/>
    <w:rsid w:val="124A798D"/>
    <w:rsid w:val="1407565A"/>
    <w:rsid w:val="14417CB1"/>
    <w:rsid w:val="15AC0C61"/>
    <w:rsid w:val="17D2696E"/>
    <w:rsid w:val="18404DDE"/>
    <w:rsid w:val="18EC656F"/>
    <w:rsid w:val="198E090B"/>
    <w:rsid w:val="1ADF0085"/>
    <w:rsid w:val="20FE5892"/>
    <w:rsid w:val="21550108"/>
    <w:rsid w:val="220928C4"/>
    <w:rsid w:val="221D2EC3"/>
    <w:rsid w:val="26A41932"/>
    <w:rsid w:val="26D06CAF"/>
    <w:rsid w:val="28356ED7"/>
    <w:rsid w:val="293B1E2F"/>
    <w:rsid w:val="2BE1518F"/>
    <w:rsid w:val="35B04020"/>
    <w:rsid w:val="35FB2606"/>
    <w:rsid w:val="387B1E55"/>
    <w:rsid w:val="3ACF69C0"/>
    <w:rsid w:val="3B204083"/>
    <w:rsid w:val="3BD14024"/>
    <w:rsid w:val="3F3852E2"/>
    <w:rsid w:val="40094AFC"/>
    <w:rsid w:val="44F659D0"/>
    <w:rsid w:val="48085048"/>
    <w:rsid w:val="481C378D"/>
    <w:rsid w:val="48675EC2"/>
    <w:rsid w:val="4B7E2E59"/>
    <w:rsid w:val="4D060FCF"/>
    <w:rsid w:val="4E6108EF"/>
    <w:rsid w:val="509B4669"/>
    <w:rsid w:val="50D90043"/>
    <w:rsid w:val="53F33247"/>
    <w:rsid w:val="55D61A1F"/>
    <w:rsid w:val="55F73A99"/>
    <w:rsid w:val="56310AD5"/>
    <w:rsid w:val="581A496C"/>
    <w:rsid w:val="5A3D120E"/>
    <w:rsid w:val="5A881C7E"/>
    <w:rsid w:val="5E4A5582"/>
    <w:rsid w:val="5F9E7E87"/>
    <w:rsid w:val="607723B2"/>
    <w:rsid w:val="630109D1"/>
    <w:rsid w:val="650233A0"/>
    <w:rsid w:val="66646193"/>
    <w:rsid w:val="67497838"/>
    <w:rsid w:val="67BC7F6F"/>
    <w:rsid w:val="685B0963"/>
    <w:rsid w:val="6CF82BE0"/>
    <w:rsid w:val="6E481546"/>
    <w:rsid w:val="7181352B"/>
    <w:rsid w:val="73FA7158"/>
    <w:rsid w:val="766563BD"/>
    <w:rsid w:val="7721461C"/>
    <w:rsid w:val="77647C51"/>
    <w:rsid w:val="7A53457B"/>
    <w:rsid w:val="7B6C2B69"/>
    <w:rsid w:val="7B8D56F0"/>
    <w:rsid w:val="7D0B7C1E"/>
    <w:rsid w:val="7DB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autoRedefine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8435"/>
    <customShpInfo spid="_x0000_s18434"/>
    <customShpInfo spid="_x0000_s184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681</Characters>
  <Lines>5</Lines>
  <Paragraphs>1</Paragraphs>
  <TotalTime>0</TotalTime>
  <ScaleCrop>false</ScaleCrop>
  <LinksUpToDate>false</LinksUpToDate>
  <CharactersWithSpaces>805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2021-10-24T06:25:00Z</dcterms:created>
  <dc:creator>user</dc:creator>
  <cp:lastModifiedBy>user</cp:lastModifiedBy>
  <dcterms:modified xsi:type="dcterms:W3CDTF">2024-12-22T15:13:16Z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2F5A28CE97784627B2D452AAACD2DC93</vt:lpwstr>
  </property>
</Properties>
</file>